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0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Типова тендерна документація для проведення тендеру на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закупівлю підйомників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в рамках проєкту «Комплексне дослідження «Аналіз доступності, чутливості до конфліктів та перспектив розвитку міжмуніципальних соціальних послуг пілотних громад Проєкту USAID «ГОВЕРЛА»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00" w:line="24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Замовник - ГО «Фундація «Простір» в рамках грантового проекту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«Аналіз доступності, чутливості до конфліктів та перспектив розвитку міжмуніципальних соціальних послуг у пілотних громадах Проєкту USAID «ГОВЕРЛА</w:t>
      </w:r>
      <w:r w:rsidDel="00000000" w:rsidR="00000000" w:rsidRPr="00000000">
        <w:rPr>
          <w:rFonts w:ascii="Arial" w:cs="Arial" w:eastAsia="Arial" w:hAnsi="Arial"/>
          <w:rtl w:val="0"/>
        </w:rPr>
        <w:t xml:space="preserve">», що реалізується за підтримки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Проєкту USAID «ГОВЕРЛА</w:t>
      </w:r>
      <w:r w:rsidDel="00000000" w:rsidR="00000000" w:rsidRPr="00000000">
        <w:rPr>
          <w:rFonts w:ascii="Arial" w:cs="Arial" w:eastAsia="Arial" w:hAnsi="Arial"/>
          <w:rtl w:val="0"/>
        </w:rPr>
        <w:t xml:space="preserve">», оголошує відкритий тендер на закупівлю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 Універсальних сходових підйомників на гусеничному ході</w:t>
      </w:r>
      <w:r w:rsidDel="00000000" w:rsidR="00000000" w:rsidRPr="00000000">
        <w:rPr>
          <w:rFonts w:ascii="Arial" w:cs="Arial" w:eastAsia="Arial" w:hAnsi="Arial"/>
          <w:rtl w:val="0"/>
        </w:rPr>
        <w:t xml:space="preserve"> для маломобільних груп населення (більш детальний опис та характеристики в ТЗ) для відібраних обʼєктів муніципальних послуг у громадах Львівської, Закарпатської, Полтавської, Рівненської, Волинської, Житомирської, Полтавської та Одеської областей.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566"/>
        <w:jc w:val="both"/>
        <w:rPr>
          <w:rFonts w:ascii="Arial" w:cs="Arial" w:eastAsia="Arial" w:hAnsi="Arial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highlight w:val="white"/>
          <w:u w:val="single"/>
          <w:rtl w:val="0"/>
        </w:rPr>
        <w:t xml:space="preserve">Дата оголошення про тендер: </w:t>
      </w:r>
      <w:r w:rsidDel="00000000" w:rsidR="00000000" w:rsidRPr="00000000">
        <w:rPr>
          <w:rFonts w:ascii="Arial" w:cs="Arial" w:eastAsia="Arial" w:hAnsi="Arial"/>
          <w:b w:val="1"/>
          <w:highlight w:val="white"/>
          <w:u w:val="single"/>
          <w:rtl w:val="0"/>
        </w:rPr>
        <w:t xml:space="preserve">27 липня 2023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50" w:before="150" w:lineRule="auto"/>
        <w:jc w:val="both"/>
        <w:rPr>
          <w:rFonts w:ascii="Arial" w:cs="Arial" w:eastAsia="Arial" w:hAnsi="Arial"/>
          <w:b w:val="1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highlight w:val="white"/>
          <w:u w:val="single"/>
          <w:rtl w:val="0"/>
        </w:rPr>
        <w:t xml:space="preserve">Термін подання тендерних пропозицій: </w:t>
      </w:r>
      <w:r w:rsidDel="00000000" w:rsidR="00000000" w:rsidRPr="00000000">
        <w:rPr>
          <w:rFonts w:ascii="Arial" w:cs="Arial" w:eastAsia="Arial" w:hAnsi="Arial"/>
          <w:b w:val="1"/>
          <w:highlight w:val="white"/>
          <w:u w:val="single"/>
          <w:rtl w:val="0"/>
        </w:rPr>
        <w:t xml:space="preserve">11 серпня 2023 р. до 12:00</w:t>
      </w:r>
    </w:p>
    <w:p w:rsidR="00000000" w:rsidDel="00000000" w:rsidP="00000000" w:rsidRDefault="00000000" w:rsidRPr="00000000" w14:paraId="00000007">
      <w:pPr>
        <w:spacing w:before="20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Строк надання послуг</w:t>
      </w:r>
      <w:r w:rsidDel="00000000" w:rsidR="00000000" w:rsidRPr="00000000">
        <w:rPr>
          <w:rFonts w:ascii="Arial" w:cs="Arial" w:eastAsia="Arial" w:hAnsi="Arial"/>
          <w:rtl w:val="0"/>
        </w:rPr>
        <w:t xml:space="preserve">: до 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31 березня 202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 року</w:t>
      </w:r>
      <w:r w:rsidDel="00000000" w:rsidR="00000000" w:rsidRPr="00000000">
        <w:rPr>
          <w:rFonts w:ascii="Arial" w:cs="Arial" w:eastAsia="Arial" w:hAnsi="Arial"/>
          <w:rtl w:val="0"/>
        </w:rPr>
        <w:t xml:space="preserve"> всі роботи, пов'язані з доставкою  та встановленням  підйомників (включаючи інструктаж щодо експлуатації обладнання) повинні бути завершені,</w:t>
      </w:r>
      <w:r w:rsidDel="00000000" w:rsidR="00000000" w:rsidRPr="00000000">
        <w:rPr>
          <w:rFonts w:ascii="Arial" w:cs="Arial" w:eastAsia="Arial" w:hAnsi="Arial"/>
          <w:color w:val="333333"/>
          <w:rtl w:val="0"/>
        </w:rPr>
        <w:t xml:space="preserve"> відповідно Договору закупівлі та постачання обладнання (який буде заключений з переможцем протягом 3-х днів з дати затвердження результатів тендеру).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59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У вартість послуги повинно бути включено все, зазначене вище в основних технічних  вимогах. </w:t>
      </w:r>
    </w:p>
    <w:p w:rsidR="00000000" w:rsidDel="00000000" w:rsidP="00000000" w:rsidRDefault="00000000" w:rsidRPr="00000000" w14:paraId="00000009">
      <w:pPr>
        <w:spacing w:before="20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Вимоги до постачальника обладнання – учасника тендеру</w:t>
      </w:r>
    </w:p>
    <w:p w:rsidR="00000000" w:rsidDel="00000000" w:rsidP="00000000" w:rsidRDefault="00000000" w:rsidRPr="00000000" w14:paraId="0000000B">
      <w:pPr>
        <w:shd w:fill="ffffff" w:val="clear"/>
        <w:spacing w:after="150" w:before="240" w:lineRule="auto"/>
        <w:jc w:val="both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До участі у тендері запрошуються</w:t>
      </w:r>
      <w:r w:rsidDel="00000000" w:rsidR="00000000" w:rsidRPr="00000000">
        <w:rPr>
          <w:rFonts w:ascii="Arial" w:cs="Arial" w:eastAsia="Arial" w:hAnsi="Arial"/>
          <w:rtl w:val="0"/>
        </w:rPr>
        <w:t xml:space="preserve"> суб’єкти підприємницької діяльності, належним чином зареєстровані за законодавством України: постачальники, що мають досвід роботи у відповідній сфері, відповідні КВЕД для надання послуг, та погоджуються з умовами тендеру.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150" w:before="240" w:lineRule="auto"/>
        <w:jc w:val="both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Учасник тендеру надає організатору наступні документи: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before="28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Копія документів, що підтверджують державну реєстрацію та податковий статус.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Лист зацікавлення (форма довільна).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Підписаний розрахунок ціни послуг.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ind w:left="714" w:hanging="35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Зразок договору надання послуги по закупівлі та постачанню обладнання (по кожній одиниці в кожний обалсний центр Львівської, Закарпатської, Волинської, Рівненської, Житомирської, Одеської та Полтавської областей, що повинно бути включено в умови постачання обладнання).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ind w:left="714" w:hanging="35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Підтвердження наявного досвіду (договори з надання аналогічних закупівель/послуг/ рекомендаційні листи тощо).</w:t>
      </w:r>
    </w:p>
    <w:p w:rsidR="00000000" w:rsidDel="00000000" w:rsidP="00000000" w:rsidRDefault="00000000" w:rsidRPr="00000000" w14:paraId="00000012">
      <w:pPr>
        <w:shd w:fill="ffffff" w:val="clear"/>
        <w:ind w:left="714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150" w:lineRule="auto"/>
        <w:jc w:val="both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Вимоги до участі в тендері: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hd w:fill="ffffff" w:val="clear"/>
        <w:spacing w:before="28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Відповідність учасника технічним умовам постачання обладнання (ТЗ додається);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hd w:fill="ffffff" w:val="clear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Відповідність поданих документів умовам тендерного оголошення;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hd w:fill="ffffff" w:val="clear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Якість опису закупівлі та постачання обладнання та відповідність очікуванням організатора;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hd w:fill="ffffff" w:val="clear"/>
        <w:spacing w:after="28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Прийнятна ціна, умови оплати та умови закупівлі та постачання обладнання.</w:t>
      </w:r>
    </w:p>
    <w:p w:rsidR="00000000" w:rsidDel="00000000" w:rsidP="00000000" w:rsidRDefault="00000000" w:rsidRPr="00000000" w14:paraId="00000018">
      <w:pPr>
        <w:shd w:fill="ffffff" w:val="clear"/>
        <w:spacing w:after="150" w:before="15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Тендерні процедури</w:t>
      </w:r>
    </w:p>
    <w:p w:rsidR="00000000" w:rsidDel="00000000" w:rsidP="00000000" w:rsidRDefault="00000000" w:rsidRPr="00000000" w14:paraId="00000019">
      <w:pPr>
        <w:spacing w:after="160" w:line="259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Запитання щодо тендеру можна надсилати в електронному вигляді за ел. адресою </w:t>
      </w:r>
      <w:hyperlink r:id="rId7">
        <w:r w:rsidDel="00000000" w:rsidR="00000000" w:rsidRPr="00000000">
          <w:rPr>
            <w:rFonts w:ascii="Arial" w:cs="Arial" w:eastAsia="Arial" w:hAnsi="Arial"/>
            <w:b w:val="1"/>
            <w:color w:val="0000ff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 до 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 серпня 2023 року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A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До участі у відборі тендерних пропозицій допускаються тендерні пропозиції, які повністю відповідають умовам цього тендерного оголошення.</w:t>
      </w:r>
    </w:p>
    <w:p w:rsidR="00000000" w:rsidDel="00000000" w:rsidP="00000000" w:rsidRDefault="00000000" w:rsidRPr="00000000" w14:paraId="0000001B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Тендерні пропозиції, мають бути чинними та не підлягатимуть внесенню змін з боку учасників тендеру, що їх подали, до повного завершення надання послуг.</w:t>
      </w:r>
    </w:p>
    <w:p w:rsidR="00000000" w:rsidDel="00000000" w:rsidP="00000000" w:rsidRDefault="00000000" w:rsidRPr="00000000" w14:paraId="0000001C">
      <w:pPr>
        <w:spacing w:after="160" w:line="259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Тендерні документи повинні бути складені українською мовою, підписані уповноваженою особою учасника та засвідчені печаткою (за наявності)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до 11 серпня 2023 року до 12:00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електронна версія документів має бути надіслана на пошту </w:t>
      </w:r>
      <w:hyperlink r:id="rId8">
        <w:r w:rsidDel="00000000" w:rsidR="00000000" w:rsidRPr="00000000">
          <w:rPr>
            <w:rFonts w:ascii="Arial" w:cs="Arial" w:eastAsia="Arial" w:hAnsi="Arial"/>
            <w:b w:val="1"/>
            <w:color w:val="0000ff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з темою листа «Угода № G-HOVERLA-026 – відкритий тендер на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закупівлю 7 Універсальних сходових підйомників на гусеничному ході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Всі тендерні пропозиції, отримані організатором після кінцевого терміну їх подання, а саме після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12:00, 11 серпня 2023 року</w:t>
      </w:r>
      <w:r w:rsidDel="00000000" w:rsidR="00000000" w:rsidRPr="00000000">
        <w:rPr>
          <w:rFonts w:ascii="Arial" w:cs="Arial" w:eastAsia="Arial" w:hAnsi="Arial"/>
          <w:rtl w:val="0"/>
        </w:rPr>
        <w:t xml:space="preserve">, розгляду не підлягатимуть.</w:t>
      </w:r>
    </w:p>
    <w:p w:rsidR="00000000" w:rsidDel="00000000" w:rsidP="00000000" w:rsidRDefault="00000000" w:rsidRPr="00000000" w14:paraId="0000001F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Визначення переможця тендеру, відбудеться шляхом розгляду та перевірки наданих пропозицій  на відповідність умовам конкурсу, викладеним у тендерній документації. </w:t>
      </w:r>
    </w:p>
    <w:p w:rsidR="00000000" w:rsidDel="00000000" w:rsidP="00000000" w:rsidRDefault="00000000" w:rsidRPr="00000000" w14:paraId="00000020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Результати тендеру будуть повідомлені організатором учасникам тендеру шляхом надсилання відповідних повідомлень електронною поштою протягом не більше ніж трьох робочих днів з дати прийняття рішення про визначення переможців.  Дата засідання тендерного комітету для розгляду заявок та прийняття рішення має відбутися не пізніше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вересня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2023  року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1">
      <w:pPr>
        <w:shd w:fill="ffffff" w:val="clear"/>
        <w:spacing w:after="150" w:before="15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Додаткові застереження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Учасник цієї загальної процедури (відкритого тендеру) приймає до уваги та погоджується з тим, що організатор тендеру залишає за собою право вимагати від учасника тендеру додаткові документи та/або інформацію, що підтверджують відповідність окремих положень документів вимогам та умовам цього тендерного оголошення.</w:t>
      </w:r>
    </w:p>
    <w:p w:rsidR="00000000" w:rsidDel="00000000" w:rsidP="00000000" w:rsidRDefault="00000000" w:rsidRPr="00000000" w14:paraId="00000023">
      <w:pPr>
        <w:shd w:fill="ffffff" w:val="clear"/>
        <w:spacing w:after="150" w:before="15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Учасник цієї загальної процедури (відкритого тендеру) надсилаючи документи для участі у загальній процедурі (відкритому тендері) за цим тендерним оголошенням підтверджує своє розуміння та згоду з тим, що організатор тендеру може відхилити його тендерну пропозицію у випадку, якщо пропозиції інших учасників міститимуть більш вигідні умови, та що організатор тендеру не обмежений у прийнятті будь-якої іншої пропозиції з більш вигідними для нього умовами.</w:t>
      </w:r>
    </w:p>
    <w:p w:rsidR="00000000" w:rsidDel="00000000" w:rsidP="00000000" w:rsidRDefault="00000000" w:rsidRPr="00000000" w14:paraId="00000024">
      <w:pPr>
        <w:shd w:fill="ffffff" w:val="clear"/>
        <w:spacing w:after="200" w:before="20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Оцінка та порівняння пропозицій</w:t>
      </w:r>
    </w:p>
    <w:p w:rsidR="00000000" w:rsidDel="00000000" w:rsidP="00000000" w:rsidRDefault="00000000" w:rsidRPr="00000000" w14:paraId="00000025">
      <w:pPr>
        <w:shd w:fill="ffffff" w:val="clear"/>
        <w:spacing w:after="30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Для оцінки пропозицій використовуватиметься складна оцінка, що окрім ціни буде брати до уваги наявність та тривалість підтвердженого попереднього досвіду виконання подібних робіт, якість та складність наданих прикладів попередньо розроблених продуктів.</w:t>
      </w:r>
    </w:p>
    <w:p w:rsidR="00000000" w:rsidDel="00000000" w:rsidP="00000000" w:rsidRDefault="00000000" w:rsidRPr="00000000" w14:paraId="00000026">
      <w:pPr>
        <w:shd w:fill="ffffff" w:val="clear"/>
        <w:spacing w:after="30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Максимальна кількість балів, яку може отримати пропозиція складає 100 балів. У разі, якщо пропозиція не набере мінімальну кількість балів за параметрами технічної оцінки без оцінки фінансової пропозиції (мінімально 40 балів), в такому випадку її фінансова пропозиція оцінюватися не буде (фінансовій пропозиції буде присвоєно 0 балів). </w:t>
      </w:r>
    </w:p>
    <w:tbl>
      <w:tblPr>
        <w:tblStyle w:val="Table1"/>
        <w:tblW w:w="9015.0" w:type="dxa"/>
        <w:jc w:val="left"/>
        <w:tblInd w:w="-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35"/>
        <w:gridCol w:w="1995"/>
        <w:gridCol w:w="2085"/>
        <w:tblGridChange w:id="0">
          <w:tblGrid>
            <w:gridCol w:w="4935"/>
            <w:gridCol w:w="1995"/>
            <w:gridCol w:w="2085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Складова оцінки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Вага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Максимальна кількість балів, які можна отримати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Підтверджений досвід виконання подібних контрактів на постачання обладнання:</w:t>
            </w:r>
          </w:p>
          <w:p w:rsidR="00000000" w:rsidDel="00000000" w:rsidP="00000000" w:rsidRDefault="00000000" w:rsidRPr="00000000" w14:paraId="0000002B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1-2 роки: 10 балів</w:t>
            </w:r>
          </w:p>
          <w:p w:rsidR="00000000" w:rsidDel="00000000" w:rsidP="00000000" w:rsidRDefault="00000000" w:rsidRPr="00000000" w14:paraId="0000002C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3- і більше років років: 20 балів </w:t>
            </w:r>
          </w:p>
          <w:p w:rsidR="00000000" w:rsidDel="00000000" w:rsidP="00000000" w:rsidRDefault="00000000" w:rsidRPr="00000000" w14:paraId="0000002D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до 1 року: 0 балів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Деталізація опису розрахунку постачання обладнання</w:t>
            </w:r>
          </w:p>
          <w:p w:rsidR="00000000" w:rsidDel="00000000" w:rsidP="00000000" w:rsidRDefault="00000000" w:rsidRPr="00000000" w14:paraId="00000031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Розрахунок є детальним і відповідає наданому технічному завданню (20 балів)</w:t>
            </w:r>
          </w:p>
          <w:p w:rsidR="00000000" w:rsidDel="00000000" w:rsidP="00000000" w:rsidRDefault="00000000" w:rsidRPr="00000000" w14:paraId="00000032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Розрахунок є недеталізованим і частково відповідає технічному завданню (10 балів)</w:t>
            </w:r>
          </w:p>
          <w:p w:rsidR="00000000" w:rsidDel="00000000" w:rsidP="00000000" w:rsidRDefault="00000000" w:rsidRPr="00000000" w14:paraId="00000033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Розрахунок не відповідає технічному завданню (0 балів)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Цінова пропозиція</w:t>
            </w:r>
          </w:p>
          <w:p w:rsidR="00000000" w:rsidDel="00000000" w:rsidP="00000000" w:rsidRDefault="00000000" w:rsidRPr="00000000" w14:paraId="00000037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Усі фінансові пропозиції отримають кількість балів, обернено пропорційну їх ціні. Тобто, найдешевша пропозиція отримає максимальну кількість балів, а інші пропозиції отримають кількість балів по відношенню до їх вартості до найдешевшої пропозиції з урахуванням умов: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вказана ціна має бути фінальною та включати в себе всі витрати з транспортування, встановлення та проведення інструктажів в конкретному місці розташування обладнання;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погодження можливої відстрочки оплати або розбивки на платежі (аванс не більше 50%);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spacing w:after="300" w:lineRule="auto"/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обов'язковий інструктаж/навчання використанню обладнання на місці його розташування.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spacing w:after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after="30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hd w:fill="ffffff" w:val="clear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30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Переможцем буде та пропозиція, яка набере найбільшу кількість балів. Договір буде заключено із учасником, який подав переможну пропозицію.</w:t>
      </w:r>
    </w:p>
    <w:p w:rsidR="00000000" w:rsidDel="00000000" w:rsidP="00000000" w:rsidRDefault="00000000" w:rsidRPr="00000000" w14:paraId="00000042">
      <w:pPr>
        <w:spacing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Керівник ГО «Фундація «Простір» </w:t>
      </w:r>
    </w:p>
    <w:p w:rsidR="00000000" w:rsidDel="00000000" w:rsidP="00000000" w:rsidRDefault="00000000" w:rsidRPr="00000000" w14:paraId="00000044">
      <w:pPr>
        <w:spacing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Кудрявцев С. О.</w:t>
      </w:r>
    </w:p>
    <w:p w:rsidR="00000000" w:rsidDel="00000000" w:rsidP="00000000" w:rsidRDefault="00000000" w:rsidRPr="00000000" w14:paraId="00000045">
      <w:pPr>
        <w:spacing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30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Виконавець:  +38 050 848 77 92,  Яна Чанкотадзе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before="20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before="200" w:line="240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993" w:top="568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spacing w:after="120" w:before="240" w:lineRule="auto"/>
      <w:ind w:left="2880" w:hanging="360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240" w:lineRule="auto"/>
      <w:ind w:left="864" w:hanging="864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suppressAutoHyphens w:val="1"/>
    </w:pPr>
    <w:rPr>
      <w:rFonts w:eastAsia="Andale Sans UI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 w:val="1"/>
    <w:rsid w:val="00733672"/>
    <w:pPr>
      <w:keepNext w:val="1"/>
      <w:suppressAutoHyphens w:val="0"/>
      <w:spacing w:after="60" w:before="240"/>
      <w:outlineLvl w:val="0"/>
    </w:pPr>
    <w:rPr>
      <w:rFonts w:ascii="Arial" w:cs="Arial" w:eastAsia="Times New Roman" w:hAnsi="Arial"/>
      <w:b w:val="1"/>
      <w:bCs w:val="1"/>
      <w:kern w:val="32"/>
      <w:sz w:val="32"/>
      <w:szCs w:val="32"/>
      <w:lang w:eastAsia="ru-RU"/>
    </w:rPr>
  </w:style>
  <w:style w:type="paragraph" w:styleId="4">
    <w:name w:val="heading 4"/>
    <w:basedOn w:val="11"/>
    <w:next w:val="a0"/>
    <w:qFormat w:val="1"/>
    <w:pPr>
      <w:numPr>
        <w:ilvl w:val="3"/>
        <w:numId w:val="1"/>
      </w:numPr>
      <w:outlineLvl w:val="3"/>
    </w:pPr>
    <w:rPr>
      <w:rFonts w:ascii="Times New Roman" w:cs="Courier New" w:eastAsia="SimSun" w:hAnsi="Times New Roman"/>
      <w:b w:val="1"/>
      <w:bCs w:val="1"/>
      <w:sz w:val="24"/>
      <w:szCs w:val="24"/>
    </w:rPr>
  </w:style>
  <w:style w:type="character" w:styleId="a1" w:default="1">
    <w:name w:val="Default Paragraph Font"/>
    <w:uiPriority w:val="1"/>
    <w:semiHidden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character" w:styleId="WW8Num1z0" w:customStyle="1">
    <w:name w:val="WW8Num1z0"/>
    <w:rPr>
      <w:rFonts w:ascii="Times New Roman" w:cs="Times New Roman" w:eastAsia="Andale Sans UI" w:hAnsi="Times New Roman"/>
    </w:rPr>
  </w:style>
  <w:style w:type="character" w:styleId="WW8Num1z1" w:customStyle="1">
    <w:name w:val="WW8Num1z1"/>
    <w:rPr>
      <w:rFonts w:ascii="Courier New" w:cs="Microsoft YaHei" w:hAnsi="Courier New"/>
    </w:rPr>
  </w:style>
  <w:style w:type="character" w:styleId="WW8Num1z2" w:customStyle="1">
    <w:name w:val="WW8Num1z2"/>
    <w:rPr>
      <w:rFonts w:ascii="Wingdings" w:cs="Microsoft YaHei" w:hAnsi="Wingdings"/>
    </w:rPr>
  </w:style>
  <w:style w:type="character" w:styleId="WW8Num1z3" w:customStyle="1">
    <w:name w:val="WW8Num1z3"/>
    <w:rPr>
      <w:rFonts w:ascii="Symbol" w:cs="Symbol" w:hAnsi="Symbol"/>
    </w:rPr>
  </w:style>
  <w:style w:type="character" w:styleId="2" w:customStyle="1">
    <w:name w:val="Основной шрифт абзаца2"/>
  </w:style>
  <w:style w:type="character" w:styleId="12" w:customStyle="1">
    <w:name w:val="Основной шрифт абзаца1"/>
  </w:style>
  <w:style w:type="character" w:styleId="a4">
    <w:name w:val="Hyperlink"/>
    <w:rPr>
      <w:noProof w:val="0"/>
      <w:color w:val="000080"/>
      <w:u w:val="single"/>
    </w:rPr>
  </w:style>
  <w:style w:type="paragraph" w:styleId="11" w:customStyle="1">
    <w:name w:val="Заголовок1"/>
    <w:basedOn w:val="a"/>
    <w:next w:val="a0"/>
    <w:qFormat w:val="1"/>
    <w:pPr>
      <w:keepNext w:val="1"/>
      <w:spacing w:after="120" w:before="240"/>
    </w:pPr>
    <w:rPr>
      <w:rFonts w:ascii="Arial" w:cs="Wingdings" w:eastAsia="Microsoft YaHei" w:hAnsi="Arial"/>
      <w:sz w:val="28"/>
      <w:szCs w:val="28"/>
    </w:rPr>
  </w:style>
  <w:style w:type="paragraph" w:styleId="a0">
    <w:name w:val="Body Text"/>
    <w:basedOn w:val="a"/>
    <w:link w:val="a5"/>
    <w:pPr>
      <w:jc w:val="both"/>
    </w:pPr>
    <w:rPr>
      <w:sz w:val="26"/>
      <w:lang w:val="uk-UA"/>
    </w:rPr>
  </w:style>
  <w:style w:type="paragraph" w:styleId="a6">
    <w:name w:val="List"/>
    <w:basedOn w:val="a0"/>
    <w:rPr>
      <w:rFonts w:cs="Wingdings"/>
    </w:rPr>
  </w:style>
  <w:style w:type="paragraph" w:styleId="a7">
    <w:name w:val="caption"/>
    <w:basedOn w:val="a"/>
    <w:qFormat w:val="1"/>
    <w:pPr>
      <w:suppressLineNumbers w:val="1"/>
      <w:spacing w:after="120" w:before="120"/>
    </w:pPr>
    <w:rPr>
      <w:rFonts w:cs="Courier New"/>
      <w:i w:val="1"/>
      <w:iCs w:val="1"/>
    </w:rPr>
  </w:style>
  <w:style w:type="paragraph" w:styleId="20" w:customStyle="1">
    <w:name w:val="Указатель2"/>
    <w:basedOn w:val="a"/>
    <w:pPr>
      <w:suppressLineNumbers w:val="1"/>
    </w:pPr>
    <w:rPr>
      <w:rFonts w:cs="Courier New"/>
    </w:rPr>
  </w:style>
  <w:style w:type="paragraph" w:styleId="13" w:customStyle="1">
    <w:name w:val="Название объекта1"/>
    <w:basedOn w:val="a"/>
    <w:pPr>
      <w:suppressLineNumbers w:val="1"/>
      <w:spacing w:after="120" w:before="120"/>
    </w:pPr>
    <w:rPr>
      <w:rFonts w:cs="Wingdings"/>
      <w:i w:val="1"/>
      <w:iCs w:val="1"/>
    </w:rPr>
  </w:style>
  <w:style w:type="paragraph" w:styleId="14" w:customStyle="1">
    <w:name w:val="Указатель1"/>
    <w:basedOn w:val="a"/>
    <w:pPr>
      <w:suppressLineNumbers w:val="1"/>
    </w:pPr>
    <w:rPr>
      <w:rFonts w:cs="Wingdings"/>
    </w:rPr>
  </w:style>
  <w:style w:type="paragraph" w:styleId="a8">
    <w:name w:val="Body Text Indent"/>
    <w:basedOn w:val="a"/>
    <w:pPr>
      <w:ind w:firstLine="540"/>
      <w:jc w:val="both"/>
    </w:pPr>
    <w:rPr>
      <w:sz w:val="26"/>
      <w:lang w:val="uk-UA"/>
    </w:rPr>
  </w:style>
  <w:style w:type="paragraph" w:styleId="a9" w:customStyle="1">
    <w:name w:val="Содержимое таблицы"/>
    <w:basedOn w:val="a"/>
    <w:pPr>
      <w:suppressLineNumbers w:val="1"/>
    </w:pPr>
  </w:style>
  <w:style w:type="character" w:styleId="rvts0" w:customStyle="1">
    <w:name w:val="rvts0"/>
    <w:basedOn w:val="a1"/>
    <w:rsid w:val="00B04FE2"/>
  </w:style>
  <w:style w:type="paragraph" w:styleId="aa">
    <w:name w:val="Balloon Text"/>
    <w:basedOn w:val="a"/>
    <w:semiHidden w:val="1"/>
    <w:rsid w:val="003C48AC"/>
    <w:rPr>
      <w:rFonts w:ascii="Tahoma" w:cs="Tahoma" w:hAnsi="Tahoma"/>
      <w:sz w:val="16"/>
      <w:szCs w:val="16"/>
    </w:rPr>
  </w:style>
  <w:style w:type="paragraph" w:styleId="Standard" w:customStyle="1">
    <w:name w:val="Standard"/>
    <w:rsid w:val="00733672"/>
    <w:pPr>
      <w:widowControl w:val="0"/>
      <w:suppressAutoHyphens w:val="1"/>
      <w:textAlignment w:val="baseline"/>
    </w:pPr>
    <w:rPr>
      <w:rFonts w:cs="Tahoma"/>
      <w:kern w:val="1"/>
      <w:sz w:val="24"/>
      <w:szCs w:val="24"/>
      <w:lang w:bidi="fa-IR" w:eastAsia="ja-JP" w:val="de-DE"/>
    </w:rPr>
  </w:style>
  <w:style w:type="character" w:styleId="10" w:customStyle="1">
    <w:name w:val="Заголовок 1 Знак"/>
    <w:link w:val="1"/>
    <w:locked w:val="1"/>
    <w:rsid w:val="00B7783E"/>
    <w:rPr>
      <w:rFonts w:ascii="Arial" w:cs="Arial" w:hAnsi="Arial"/>
      <w:b w:val="1"/>
      <w:bCs w:val="1"/>
      <w:kern w:val="32"/>
      <w:sz w:val="32"/>
      <w:szCs w:val="32"/>
      <w:lang w:bidi="ar-SA" w:eastAsia="ru-RU" w:val="ru-RU"/>
    </w:rPr>
  </w:style>
  <w:style w:type="paragraph" w:styleId="login-buttonuser" w:customStyle="1">
    <w:name w:val="login-button__user"/>
    <w:basedOn w:val="a"/>
    <w:rsid w:val="00624785"/>
    <w:pPr>
      <w:suppressAutoHyphens w:val="0"/>
      <w:spacing w:after="100" w:afterAutospacing="1" w:before="100" w:beforeAutospacing="1"/>
    </w:pPr>
    <w:rPr>
      <w:rFonts w:eastAsia="Times New Roman"/>
      <w:lang w:eastAsia="ru-RU"/>
    </w:rPr>
  </w:style>
  <w:style w:type="character" w:styleId="a5" w:customStyle="1">
    <w:name w:val="Основной текст Знак"/>
    <w:link w:val="a0"/>
    <w:rsid w:val="006A20EE"/>
    <w:rPr>
      <w:rFonts w:eastAsia="Andale Sans UI"/>
      <w:sz w:val="26"/>
      <w:szCs w:val="24"/>
      <w:lang w:eastAsia="zh-CN"/>
    </w:rPr>
  </w:style>
  <w:style w:type="paragraph" w:styleId="ab">
    <w:name w:val="header"/>
    <w:basedOn w:val="a"/>
    <w:link w:val="ac"/>
    <w:uiPriority w:val="99"/>
    <w:rsid w:val="00962ACD"/>
    <w:pPr>
      <w:tabs>
        <w:tab w:val="center" w:pos="4677"/>
        <w:tab w:val="right" w:pos="9355"/>
      </w:tabs>
    </w:pPr>
  </w:style>
  <w:style w:type="character" w:styleId="ac" w:customStyle="1">
    <w:name w:val="Верхний колонтитул Знак"/>
    <w:basedOn w:val="a1"/>
    <w:link w:val="ab"/>
    <w:uiPriority w:val="99"/>
    <w:rsid w:val="00962ACD"/>
    <w:rPr>
      <w:rFonts w:eastAsia="Andale Sans UI"/>
      <w:sz w:val="24"/>
      <w:szCs w:val="24"/>
      <w:lang w:eastAsia="zh-CN"/>
    </w:rPr>
  </w:style>
  <w:style w:type="paragraph" w:styleId="ad">
    <w:name w:val="footer"/>
    <w:basedOn w:val="a"/>
    <w:link w:val="ae"/>
    <w:rsid w:val="00962ACD"/>
    <w:pPr>
      <w:tabs>
        <w:tab w:val="center" w:pos="4677"/>
        <w:tab w:val="right" w:pos="9355"/>
      </w:tabs>
    </w:pPr>
  </w:style>
  <w:style w:type="character" w:styleId="ae" w:customStyle="1">
    <w:name w:val="Нижний колонтитул Знак"/>
    <w:basedOn w:val="a1"/>
    <w:link w:val="ad"/>
    <w:rsid w:val="00962ACD"/>
    <w:rPr>
      <w:rFonts w:eastAsia="Andale Sans UI"/>
      <w:sz w:val="24"/>
      <w:szCs w:val="24"/>
      <w:lang w:eastAsia="zh-CN"/>
    </w:rPr>
  </w:style>
  <w:style w:type="paragraph" w:styleId="af">
    <w:name w:val="List Paragraph"/>
    <w:basedOn w:val="a"/>
    <w:uiPriority w:val="34"/>
    <w:qFormat w:val="1"/>
    <w:rsid w:val="002F4C76"/>
    <w:pPr>
      <w:suppressAutoHyphens w:val="0"/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af0" w:customStyle="1">
    <w:name w:val="Обычный (Интернет) Знак"/>
    <w:aliases w:val="Обычный (веб) Знак Знак Знак Знак Знак Знак Знак Знак Знак Знак Знак,Обычный (веб) Знак Знак Знак Знак Знак Знак Знак Знак Знак Знак1"/>
    <w:basedOn w:val="a1"/>
    <w:link w:val="af1"/>
    <w:rsid w:val="00FD46C5"/>
    <w:rPr>
      <w:sz w:val="24"/>
      <w:szCs w:val="24"/>
    </w:rPr>
  </w:style>
  <w:style w:type="paragraph" w:styleId="af1">
    <w:name w:val="Normal (Web)"/>
    <w:aliases w:val="Обычный (веб) Знак Знак Знак Знак Знак Знак Знак Знак Знак Знак,Обычный (веб) Знак Знак Знак Знак Знак Знак Знак Знак Знак"/>
    <w:basedOn w:val="a"/>
    <w:link w:val="af0"/>
    <w:rsid w:val="00FD46C5"/>
    <w:pPr>
      <w:suppressAutoHyphens w:val="0"/>
    </w:pPr>
    <w:rPr>
      <w:rFonts w:eastAsia="Times New Roman"/>
      <w:lang w:eastAsia="ru-RU"/>
    </w:rPr>
  </w:style>
  <w:style w:type="character" w:styleId="15" w:customStyle="1">
    <w:name w:val="Неразрешенное упоминание1"/>
    <w:basedOn w:val="a1"/>
    <w:uiPriority w:val="99"/>
    <w:semiHidden w:val="1"/>
    <w:unhideWhenUsed w:val="1"/>
    <w:rsid w:val="00886BAC"/>
    <w:rPr>
      <w:color w:val="605e5c"/>
      <w:shd w:color="auto" w:fill="e1dfdd" w:val="clear"/>
    </w:rPr>
  </w:style>
  <w:style w:type="character" w:styleId="af2">
    <w:name w:val="Unresolved Mention"/>
    <w:basedOn w:val="a1"/>
    <w:uiPriority w:val="99"/>
    <w:semiHidden w:val="1"/>
    <w:unhideWhenUsed w:val="1"/>
    <w:rsid w:val="00036E0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prostir.foundation@gmail.com" TargetMode="External"/><Relationship Id="rId8" Type="http://schemas.openxmlformats.org/officeDocument/2006/relationships/hyperlink" Target="mailto:prostir.foundation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Tk4NQ0tS6OR5Gd9un03Lm3OD9Q==">CgMxLjA4AHIhMXgxVWlWaUczSURYRmNtOGNOMGowQTB3MjVSQ3ZGN1R3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2020-08-06T07:05:00Z</dcterms:created>
  <dc:creator>1</dc:creator>
</cp:coreProperties>
</file>