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spacing w:after="150" w:before="150" w:line="24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Типова тендерна документація для проведення тендеру на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закупівлю послуг з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організації та проведення 8 семінарів-практикумів та 65 засідань Робочих груп в рамках проєкту «Комплексне дослідження «Аналіз доступності, чутливості до конфліктів та перспектив розвитку міжмуніципальних соціальних послуг пілотних громад Проєкту USAID «ГОВЕРЛА»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Інструкція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spacing w:after="150" w:before="15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Замовник - ГО «Фундація «Простір» в рамках грантового проекту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«Аналіз доступності, чутливості до конфліктів та перспектив розвитку міжмуніципальних соціальних послуг у пілотних громадах Проєкту USAID «ГОВЕРЛА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», що реалізується за підтримки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Проєкту USAID «ГОВЕРЛА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», оголошує відкритий тендер на закупівлю послуг  з організації та проведення: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hd w:fill="ffffff" w:val="clear"/>
        <w:spacing w:after="0" w:afterAutospacing="0" w:before="15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8 семінарів-практикумів в обласних центрах Львівської, Закарпатської, Рівненської, Волинської, Житомирської, Полтавської та Одеської областей;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hd w:fill="ffffff" w:val="clear"/>
        <w:spacing w:after="150" w:before="0" w:beforeAutospacing="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65 засідань Робочих груп в громадах-партнерках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Проєкту USAID «ГОВЕРЛА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 вище вказаних областей.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after="150" w:before="150" w:line="240" w:lineRule="auto"/>
        <w:ind w:left="72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ind w:right="566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u w:val="single"/>
          <w:rtl w:val="0"/>
        </w:rPr>
        <w:t xml:space="preserve">Дата оголошення про тендер: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u w:val="single"/>
          <w:rtl w:val="0"/>
        </w:rPr>
        <w:t xml:space="preserve">15  липня 2023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50" w:before="15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u w:val="single"/>
          <w:rtl w:val="0"/>
        </w:rPr>
        <w:t xml:space="preserve">Термін подання тендерних пропозицій: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u w:val="single"/>
          <w:rtl w:val="0"/>
        </w:rPr>
        <w:t xml:space="preserve">06 серпня 2023 р. до 12:00</w:t>
      </w:r>
    </w:p>
    <w:p w:rsidR="00000000" w:rsidDel="00000000" w:rsidP="00000000" w:rsidRDefault="00000000" w:rsidRPr="00000000" w14:paraId="0000000C">
      <w:pPr>
        <w:spacing w:after="150" w:before="15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Обсяг Робіт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(зацікавленим у подачі на тендер прохання звертатися з запитом форми подання цінової пропозиції (додаток 1.3) на електронну адресу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1155cc"/>
            <w:sz w:val="24"/>
            <w:szCs w:val="24"/>
            <w:highlight w:val="white"/>
            <w:u w:val="single"/>
            <w:rtl w:val="0"/>
          </w:rPr>
          <w:t xml:space="preserve">prostir.foundation@gmail.com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50" w:before="15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50" w:before="15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Предметом закупівлі є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послуги організації та проведення:</w:t>
      </w:r>
    </w:p>
    <w:p w:rsidR="00000000" w:rsidDel="00000000" w:rsidP="00000000" w:rsidRDefault="00000000" w:rsidRPr="00000000" w14:paraId="00000011">
      <w:pPr>
        <w:spacing w:after="150" w:before="15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- 7 семінарів-практикумів в обласних центрах Львівської, Закарпатської, Рівненської, Волинської, Житомирської, Полтавської та Одеської областей;</w:t>
      </w:r>
    </w:p>
    <w:p w:rsidR="00000000" w:rsidDel="00000000" w:rsidP="00000000" w:rsidRDefault="00000000" w:rsidRPr="00000000" w14:paraId="00000012">
      <w:pPr>
        <w:spacing w:after="150" w:before="15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- 65 засідань Робочих груп в громадах-партнерках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Проєкту USAID «ГОВЕРЛА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 вище вказаних областей (перелік громад надається шляхом подання на електронну адресу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1155cc"/>
            <w:sz w:val="24"/>
            <w:szCs w:val="24"/>
            <w:highlight w:val="white"/>
            <w:u w:val="single"/>
            <w:rtl w:val="0"/>
          </w:rPr>
          <w:t xml:space="preserve">prostir.foundation@gmail.com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 запиту про зацікавленість тендером та щодо надання переліку громад-партнерок)</w:t>
      </w:r>
    </w:p>
    <w:p w:rsidR="00000000" w:rsidDel="00000000" w:rsidP="00000000" w:rsidRDefault="00000000" w:rsidRPr="00000000" w14:paraId="00000013">
      <w:pPr>
        <w:spacing w:after="150" w:before="15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відповідно наступних технічних вимог до предмета закупівлі, а саме:  </w:t>
      </w:r>
    </w:p>
    <w:p w:rsidR="00000000" w:rsidDel="00000000" w:rsidP="00000000" w:rsidRDefault="00000000" w:rsidRPr="00000000" w14:paraId="00000014">
      <w:pPr>
        <w:widowControl w:val="0"/>
        <w:spacing w:after="0" w:line="242" w:lineRule="auto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забезпечення кава-паузи для учасників кожного заходу в 7 обласних центрах (38 осіб) та 65 громадах (на кожну людину: кава-пауза зі стандартним меню на 10  осіб, з урахуванням доставки до місця проведення кожного заходу);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провести підготовчу роботу з учасниками (що включає: запрошення учасників засобами - телефон/факс/пошта/е-mail відповідно до критеріїв, наданих замовником; погодження з замовником списків учасників заходу перед його проведенням;  контакт з учасником до заходу з метою уточнення присутності та питань логістики;  реєстрація учасників відповідно до наданої замовником форми; за підсумками заходу уточнення списку присутніх та їх контактів та розсилання на пошту всім учасникам заходу з метою подальшої підтримки зв’язків між ними);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організація погашення квитків учасникам заходів в обидві сторони (туди та в зворотньому напрямку але за умов наявності квитка).</w:t>
      </w:r>
    </w:p>
    <w:p w:rsidR="00000000" w:rsidDel="00000000" w:rsidP="00000000" w:rsidRDefault="00000000" w:rsidRPr="00000000" w14:paraId="00000018">
      <w:pPr>
        <w:spacing w:after="0" w:line="240" w:lineRule="auto"/>
        <w:ind w:left="72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(детальний розрахунок необхідно запропонувати по формі додатку 1.3.)</w:t>
      </w:r>
    </w:p>
    <w:p w:rsidR="00000000" w:rsidDel="00000000" w:rsidP="00000000" w:rsidRDefault="00000000" w:rsidRPr="00000000" w14:paraId="00000019">
      <w:pPr>
        <w:spacing w:after="0" w:line="240" w:lineRule="auto"/>
        <w:ind w:left="72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Times New Roman" w:cs="Times New Roman" w:eastAsia="Times New Roman" w:hAnsi="Times New Roman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Строк надання послуг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протягом 2-го та 3-го  тижня кожного місяця за орієнтовним графіком:</w:t>
      </w:r>
    </w:p>
    <w:p w:rsidR="00000000" w:rsidDel="00000000" w:rsidP="00000000" w:rsidRDefault="00000000" w:rsidRPr="00000000" w14:paraId="0000001B">
      <w:pPr>
        <w:jc w:val="both"/>
        <w:rPr>
          <w:rFonts w:ascii="Times New Roman" w:cs="Times New Roman" w:eastAsia="Times New Roman" w:hAnsi="Times New Roman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7 серпня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 - м. Львів, обласний семінар;</w:t>
        <w:br w:type="textWrapping"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8-21 серпня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 - робоча група у кожній громаді Львівської області (перелік громад);</w:t>
      </w:r>
    </w:p>
    <w:p w:rsidR="00000000" w:rsidDel="00000000" w:rsidP="00000000" w:rsidRDefault="00000000" w:rsidRPr="00000000" w14:paraId="0000001C">
      <w:pPr>
        <w:ind w:firstLine="720"/>
        <w:jc w:val="both"/>
        <w:rPr>
          <w:rFonts w:ascii="Times New Roman" w:cs="Times New Roman" w:eastAsia="Times New Roman" w:hAnsi="Times New Roman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4 вересня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 - м. Ужгород, обласний семінар;</w:t>
        <w:br w:type="textWrapping"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5-18 вересня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 - робоча група у кожній громаді Закарпатської області (перелік громад);</w:t>
        <w:br w:type="textWrapping"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2 жовтня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 - м. Рівне, обласний семінар;</w:t>
        <w:br w:type="textWrapping"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3-16 жовтня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 - робоча група у кожній громаді Рівненської області (перелік громад);</w:t>
      </w:r>
    </w:p>
    <w:p w:rsidR="00000000" w:rsidDel="00000000" w:rsidP="00000000" w:rsidRDefault="00000000" w:rsidRPr="00000000" w14:paraId="0000001D">
      <w:pPr>
        <w:ind w:firstLine="720"/>
        <w:jc w:val="both"/>
        <w:rPr>
          <w:rFonts w:ascii="Times New Roman" w:cs="Times New Roman" w:eastAsia="Times New Roman" w:hAnsi="Times New Roman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6 листопада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 - м. Полтава, обласний семінар;</w:t>
        <w:br w:type="textWrapping"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7-13 листопада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 - робоча група у кожній громаді Полтавської області (перелік громад);</w:t>
      </w:r>
    </w:p>
    <w:p w:rsidR="00000000" w:rsidDel="00000000" w:rsidP="00000000" w:rsidRDefault="00000000" w:rsidRPr="00000000" w14:paraId="0000001E">
      <w:pPr>
        <w:ind w:firstLine="720"/>
        <w:jc w:val="both"/>
        <w:rPr>
          <w:rFonts w:ascii="Times New Roman" w:cs="Times New Roman" w:eastAsia="Times New Roman" w:hAnsi="Times New Roman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4 грудень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 - м. Луцьк, обласний семінар;</w:t>
        <w:br w:type="textWrapping"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5-18 грудень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 - робоча група у кожній громаді Волинській області (перелік громад);</w:t>
      </w:r>
    </w:p>
    <w:p w:rsidR="00000000" w:rsidDel="00000000" w:rsidP="00000000" w:rsidRDefault="00000000" w:rsidRPr="00000000" w14:paraId="0000001F">
      <w:pPr>
        <w:ind w:firstLine="720"/>
        <w:jc w:val="both"/>
        <w:rPr>
          <w:rFonts w:ascii="Times New Roman" w:cs="Times New Roman" w:eastAsia="Times New Roman" w:hAnsi="Times New Roman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8 січня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 - м. Житомир, обласний семінар;</w:t>
        <w:br w:type="textWrapping"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9-22 січня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 - робоча група у кожній громаді Житомирської області (перелік громад);</w:t>
      </w:r>
    </w:p>
    <w:p w:rsidR="00000000" w:rsidDel="00000000" w:rsidP="00000000" w:rsidRDefault="00000000" w:rsidRPr="00000000" w14:paraId="00000020">
      <w:pPr>
        <w:ind w:firstLine="720"/>
        <w:jc w:val="both"/>
        <w:rPr>
          <w:rFonts w:ascii="Times New Roman" w:cs="Times New Roman" w:eastAsia="Times New Roman" w:hAnsi="Times New Roman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4 березня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 - м. Одеса, обласний семінар;</w:t>
        <w:br w:type="textWrapping"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5-18 березня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 - робоча група у кожній громаді Одеської області (перелік громад);</w:t>
      </w:r>
    </w:p>
    <w:p w:rsidR="00000000" w:rsidDel="00000000" w:rsidP="00000000" w:rsidRDefault="00000000" w:rsidRPr="00000000" w14:paraId="00000021">
      <w:pPr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та відповідно Договору надання послуг (який буде заключений з переможцем протягом 3-х днів з дати затвердження результатів тендеру).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вартість послуги повинно бути включено все, зазначене вище в основних технічних  вимогах. </w:t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Вимоги до постачальника послуг – учасника тендеру</w:t>
      </w:r>
    </w:p>
    <w:p w:rsidR="00000000" w:rsidDel="00000000" w:rsidP="00000000" w:rsidRDefault="00000000" w:rsidRPr="00000000" w14:paraId="00000025">
      <w:pPr>
        <w:shd w:fill="ffffff" w:val="clear"/>
        <w:spacing w:after="15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До участі у тендері запрошуються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суб’єкти підприємницької діяльності, належним чином зареєстровані за законодавством України: постачальники, що мають досвід роботи у відповідній сфері, відповідні КВЕД для надання послуг, та можливість надати оригінали супроводжуючих документів з печаткою та підписом (договір на надання послуг, рахунок-фактура, акт виконаних робіт).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hd w:fill="ffffff" w:val="clear"/>
        <w:spacing w:after="15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Учасник тендеру надає організатору наступні документи: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shd w:fill="ffffff" w:val="clear"/>
        <w:spacing w:after="0" w:before="28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Копія документів, що підтверджують державну реєстрацію та податковий статус.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shd w:fill="ffffff" w:val="clear"/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Лист зацікавлення (форма довільна). 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shd w:fill="ffffff" w:val="clear"/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Підписаний розрахунок ціни послуг за визначеною таблицеєю (кількість не міняти, проставити свої ціни, додається - додаток 1.3).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shd w:fill="ffffff" w:val="clear"/>
        <w:spacing w:after="0" w:line="240" w:lineRule="auto"/>
        <w:ind w:left="714" w:hanging="35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Оригінал Рахунка-фактури.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shd w:fill="ffffff" w:val="clear"/>
        <w:spacing w:after="0" w:line="240" w:lineRule="auto"/>
        <w:ind w:left="714" w:hanging="35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Зразок договору надання послуг.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shd w:fill="ffffff" w:val="clear"/>
        <w:spacing w:after="0" w:line="240" w:lineRule="auto"/>
        <w:ind w:left="714" w:hanging="35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Підтвердження наявного досвіду (договори з надання аналогічних послуг/ рекомендаційні листи тощо).</w:t>
      </w:r>
    </w:p>
    <w:p w:rsidR="00000000" w:rsidDel="00000000" w:rsidP="00000000" w:rsidRDefault="00000000" w:rsidRPr="00000000" w14:paraId="0000002D">
      <w:pPr>
        <w:shd w:fill="ffffff" w:val="clear"/>
        <w:spacing w:after="0" w:line="240" w:lineRule="auto"/>
        <w:ind w:left="71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50" w:before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Істотні критерії (умови) відбору тендерних пропозицій: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shd w:fill="ffffff" w:val="clear"/>
        <w:spacing w:after="0" w:before="280" w:line="24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Відповідність учасника кваліфікаційним вимогам тендерного оголошення;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shd w:fill="ffffff" w:val="clear"/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Відповідність поданих документів умовам тендерного оголошення;</w:t>
      </w:r>
    </w:p>
    <w:p w:rsidR="00000000" w:rsidDel="00000000" w:rsidP="00000000" w:rsidRDefault="00000000" w:rsidRPr="00000000" w14:paraId="00000031">
      <w:pPr>
        <w:numPr>
          <w:ilvl w:val="0"/>
          <w:numId w:val="4"/>
        </w:numPr>
        <w:shd w:fill="ffffff" w:val="clear"/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Якість опису послуг та відповідність очікуванням організатора;</w:t>
      </w:r>
    </w:p>
    <w:p w:rsidR="00000000" w:rsidDel="00000000" w:rsidP="00000000" w:rsidRDefault="00000000" w:rsidRPr="00000000" w14:paraId="00000032">
      <w:pPr>
        <w:numPr>
          <w:ilvl w:val="0"/>
          <w:numId w:val="4"/>
        </w:numPr>
        <w:shd w:fill="ffffff" w:val="clear"/>
        <w:spacing w:after="280" w:line="24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Прийнятна ціна, умови оплати та умови надання послуг.</w:t>
      </w:r>
    </w:p>
    <w:p w:rsidR="00000000" w:rsidDel="00000000" w:rsidP="00000000" w:rsidRDefault="00000000" w:rsidRPr="00000000" w14:paraId="00000033">
      <w:pPr>
        <w:shd w:fill="ffffff" w:val="clear"/>
        <w:spacing w:after="150" w:before="15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Тендерні процедури</w:t>
      </w:r>
    </w:p>
    <w:p w:rsidR="00000000" w:rsidDel="00000000" w:rsidP="00000000" w:rsidRDefault="00000000" w:rsidRPr="00000000" w14:paraId="00000034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Запитання щодо тендеру можна надсилати в електронному вигляді за ел. адресою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0000ff"/>
            <w:sz w:val="24"/>
            <w:szCs w:val="24"/>
            <w:u w:val="single"/>
            <w:rtl w:val="0"/>
          </w:rPr>
          <w:t xml:space="preserve">prostir.foundation@gmail.com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до 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06 серпня 2023 року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35">
      <w:pPr>
        <w:shd w:fill="ffffff" w:val="clear"/>
        <w:spacing w:after="150" w:before="15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До участі у відборі тендерних пропозицій допускаються тендерні пропозиції, які повністю відповідають умовам цього тендерного оголошення.</w:t>
      </w:r>
    </w:p>
    <w:p w:rsidR="00000000" w:rsidDel="00000000" w:rsidP="00000000" w:rsidRDefault="00000000" w:rsidRPr="00000000" w14:paraId="00000036">
      <w:pPr>
        <w:shd w:fill="ffffff" w:val="clear"/>
        <w:spacing w:after="150" w:before="15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Тендерні пропозиції, мають бути чинними та не підлягатимуть внесенню змін з боку учасників тендеру, що їх подали, до повного завершення надання послуг.</w:t>
      </w:r>
    </w:p>
    <w:p w:rsidR="00000000" w:rsidDel="00000000" w:rsidP="00000000" w:rsidRDefault="00000000" w:rsidRPr="00000000" w14:paraId="00000037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Тендерні документи повинні бути складені українською мовою, підписані уповноваженою особою учасника та засвідчені печаткою (за наявності)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до 06 серпня 2023 року до 12:00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 із зазначенням на конверті назви постачальника, назва ГО куди надається – ГО «Фундація «Простір», за адресою: Київська область, м. Київ, вул. Іоанна Павла ІІ, 17, офіс 407.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Електронна версія документів має бути надіслана на пошту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0000ff"/>
            <w:sz w:val="24"/>
            <w:szCs w:val="24"/>
            <w:u w:val="single"/>
            <w:rtl w:val="0"/>
          </w:rPr>
          <w:t xml:space="preserve">prostir.foundation@gmail.com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з темою листа «Угода № G-HOVERLA-026 – відкритий тендер на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закупівлю послуг з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організації та проведення 8 семінарів-практикумів та 65 засідань Робочих груп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Всі тендерні пропозиції, отримані організатором після кінцевого терміну їх подання, а саме після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12:00 06 серпня 2023 року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розгляду не підлягатимуть.</w:t>
      </w:r>
    </w:p>
    <w:p w:rsidR="00000000" w:rsidDel="00000000" w:rsidP="00000000" w:rsidRDefault="00000000" w:rsidRPr="00000000" w14:paraId="0000003A">
      <w:pPr>
        <w:shd w:fill="ffffff" w:val="clear"/>
        <w:spacing w:after="150" w:before="15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Визначення переможця тендеру, відбудеться шляхом розгляду та перевірки наданих пропозицій  на відповідність умовам конкурсу, викладеним у тендерній документації. </w:t>
      </w:r>
    </w:p>
    <w:p w:rsidR="00000000" w:rsidDel="00000000" w:rsidP="00000000" w:rsidRDefault="00000000" w:rsidRPr="00000000" w14:paraId="0000003B">
      <w:pPr>
        <w:shd w:fill="ffffff" w:val="clear"/>
        <w:spacing w:after="150" w:before="15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Результати тендеру будуть повідомлені організатором учасникам тендеру шляхом надсилання відповідних повідомлень електронною поштою протягом не більше ніж трьох робочих днів з дати прийняття рішення про визначення переможців.  Дата засідання тендерного комітету для розгляду заявок та прийняття рішення має відбутися не пізніше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06 серпня  2023  року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3C">
      <w:pPr>
        <w:shd w:fill="ffffff" w:val="clear"/>
        <w:spacing w:after="150" w:before="15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Додаткові застереження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hd w:fill="ffffff" w:val="clear"/>
        <w:spacing w:after="150" w:before="15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Учасник цієї загальної процедури (відкритого тендеру) приймає до уваги та погоджується з тим, що організатор тендеру залишає за собою право вимагати від учасника тендеру додаткові документи та/або інформацію, що підтверджують відповідність окремих положень документів вимогам та умовам цього тендерного оголошення.</w:t>
      </w:r>
    </w:p>
    <w:p w:rsidR="00000000" w:rsidDel="00000000" w:rsidP="00000000" w:rsidRDefault="00000000" w:rsidRPr="00000000" w14:paraId="0000003E">
      <w:pPr>
        <w:shd w:fill="ffffff" w:val="clear"/>
        <w:spacing w:after="150" w:before="15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Учасник цієї загальної процедури (відкритого тендеру) надсилаючи документи для участі у загальній процедурі (відкритому тендері) за цим тендерним оголошенням підтверджує своє розуміння та згоду з тим, що організатор тендеру може відхилити його тендерну пропозицію у випадку, якщо пропозиції інших учасників міститимуть більш вигідні умови, та що організатор тендеру не обмежений у прийнятті будь-якої іншої пропозиції з більш вигідними для нього умовами.</w:t>
      </w:r>
    </w:p>
    <w:p w:rsidR="00000000" w:rsidDel="00000000" w:rsidP="00000000" w:rsidRDefault="00000000" w:rsidRPr="00000000" w14:paraId="0000003F">
      <w:pPr>
        <w:shd w:fill="ffffff" w:val="clear"/>
        <w:spacing w:after="200" w:before="20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Оцінка та порівняння пропозицій</w:t>
      </w:r>
    </w:p>
    <w:p w:rsidR="00000000" w:rsidDel="00000000" w:rsidP="00000000" w:rsidRDefault="00000000" w:rsidRPr="00000000" w14:paraId="00000040">
      <w:pPr>
        <w:shd w:fill="ffffff" w:val="clear"/>
        <w:spacing w:after="30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Для оцінки пропозицій використовуватиметься складна оцінка, що окрім ціни буде брати до уваги наявність та тривалість підтвердженого попереднього досвіду виконання подібних робіт, якість та складність наданих прикладів попередньо розроблених продуктів.</w:t>
      </w:r>
    </w:p>
    <w:p w:rsidR="00000000" w:rsidDel="00000000" w:rsidP="00000000" w:rsidRDefault="00000000" w:rsidRPr="00000000" w14:paraId="00000041">
      <w:pPr>
        <w:shd w:fill="ffffff" w:val="clear"/>
        <w:spacing w:after="30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Максимальна кількість балів, яку може отримати пропозиція складає 100 балів. У разі, якщо пропозиція не набере мінімальну кількість балів за параметрами технічної оцінки без оцінки фінансової пропозиції (мінімально 40 балів), в такому випадку її фінансова пропозиція оцінюватися не буде (фінансовій пропозиції буде присвоєно 0 балів).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-4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935"/>
        <w:gridCol w:w="1995"/>
        <w:gridCol w:w="2085"/>
        <w:tblGridChange w:id="0">
          <w:tblGrid>
            <w:gridCol w:w="4935"/>
            <w:gridCol w:w="1995"/>
            <w:gridCol w:w="2085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42">
            <w:pPr>
              <w:spacing w:after="30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Складова оцінки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43">
            <w:pPr>
              <w:spacing w:after="30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Вага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44">
            <w:pPr>
              <w:spacing w:after="30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Максимальна кількість балів, які можна отримати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30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Підтверджений досвід виконання подібних робіт: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30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1-2 роки: 10 балів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30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3- і більше років років: 20 балів 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30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до 1 року: 0 балів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49">
            <w:pPr>
              <w:spacing w:after="30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4A">
            <w:pPr>
              <w:spacing w:after="30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4B">
            <w:pPr>
              <w:spacing w:after="30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Деталізація опису розрахунку послуг з проведення діалогових заходів</w:t>
            </w:r>
          </w:p>
          <w:p w:rsidR="00000000" w:rsidDel="00000000" w:rsidP="00000000" w:rsidRDefault="00000000" w:rsidRPr="00000000" w14:paraId="0000004C">
            <w:pPr>
              <w:spacing w:after="30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Розрахунок є детальним і відповідає наданому технічному завданню (20 балів)</w:t>
            </w:r>
          </w:p>
          <w:p w:rsidR="00000000" w:rsidDel="00000000" w:rsidP="00000000" w:rsidRDefault="00000000" w:rsidRPr="00000000" w14:paraId="0000004D">
            <w:pPr>
              <w:spacing w:after="30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Розрахунок є недеталізованим і частково відповідає технічному завданню (10 балів)</w:t>
            </w:r>
          </w:p>
          <w:p w:rsidR="00000000" w:rsidDel="00000000" w:rsidP="00000000" w:rsidRDefault="00000000" w:rsidRPr="00000000" w14:paraId="0000004E">
            <w:pPr>
              <w:spacing w:after="30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Розрахунок не відповідає технічному завданню (0 балів)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4F">
            <w:pPr>
              <w:spacing w:after="30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50">
            <w:pPr>
              <w:spacing w:after="30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51">
            <w:pPr>
              <w:spacing w:after="30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Цінова пропозиція</w:t>
            </w:r>
          </w:p>
          <w:p w:rsidR="00000000" w:rsidDel="00000000" w:rsidP="00000000" w:rsidRDefault="00000000" w:rsidRPr="00000000" w14:paraId="00000052">
            <w:pPr>
              <w:spacing w:after="30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Усі фінансові пропозиції отримають кількість балів, обернено пропорційну їх ціні. Тобто, найдешевша пропозиція отримає максимальну кількість балів, а інші пропозиції отримають кількість балів по відношенню до їх вартості до найдешевшої пропозиції.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53">
            <w:pPr>
              <w:spacing w:after="30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6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0%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54">
            <w:pPr>
              <w:spacing w:after="30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6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55">
            <w:pPr>
              <w:spacing w:after="30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56">
            <w:pPr>
              <w:spacing w:after="30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57">
            <w:pPr>
              <w:spacing w:after="30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100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8">
      <w:pP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hd w:fill="ffffff" w:val="clear"/>
        <w:spacing w:after="30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Переможцем буде та пропозиція, яка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набере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найбільшу кількість балів. Договір буде заключено із учасником, який подав переможну пропозицію.</w:t>
      </w:r>
    </w:p>
    <w:p w:rsidR="00000000" w:rsidDel="00000000" w:rsidP="00000000" w:rsidRDefault="00000000" w:rsidRPr="00000000" w14:paraId="0000005A">
      <w:pPr>
        <w:spacing w:after="0" w:before="12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Керівник ГО «Фундація «Простір» </w:t>
      </w:r>
    </w:p>
    <w:p w:rsidR="00000000" w:rsidDel="00000000" w:rsidP="00000000" w:rsidRDefault="00000000" w:rsidRPr="00000000" w14:paraId="0000005B">
      <w:pPr>
        <w:spacing w:after="0" w:before="12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Кудрявцев С. О.</w:t>
      </w:r>
    </w:p>
    <w:p w:rsidR="00000000" w:rsidDel="00000000" w:rsidP="00000000" w:rsidRDefault="00000000" w:rsidRPr="00000000" w14:paraId="0000005C">
      <w:pPr>
        <w:spacing w:after="0" w:before="12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hd w:fill="ffffff" w:val="clear"/>
        <w:spacing w:after="30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Виконавець: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+38 050 848 77 92,  Яна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Чанкотадзе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paragraph" w:styleId="1">
    <w:name w:val="heading 1"/>
    <w:basedOn w:val="a"/>
    <w:next w:val="a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0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a4">
    <w:name w:val="Hyperlink"/>
    <w:basedOn w:val="a0"/>
    <w:uiPriority w:val="99"/>
    <w:unhideWhenUsed w:val="1"/>
    <w:rsid w:val="00C908D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 w:val="1"/>
    <w:unhideWhenUsed w:val="1"/>
    <w:rsid w:val="00C908DA"/>
    <w:rPr>
      <w:color w:val="605e5c"/>
      <w:shd w:color="auto" w:fill="e1dfdd" w:val="clear"/>
    </w:rPr>
  </w:style>
  <w:style w:type="paragraph" w:styleId="NoSpacing1" w:customStyle="1">
    <w:name w:val="No Spacing1"/>
    <w:rsid w:val="00C336D0"/>
    <w:pPr>
      <w:spacing w:after="0" w:line="240" w:lineRule="auto"/>
    </w:pPr>
    <w:rPr>
      <w:rFonts w:cs="Times New Roman" w:eastAsia="Times New Roman"/>
      <w:sz w:val="20"/>
      <w:szCs w:val="20"/>
      <w:lang w:val="en-US"/>
    </w:rPr>
  </w:style>
  <w:style w:type="paragraph" w:styleId="a6">
    <w:name w:val="Normal (Web)"/>
    <w:basedOn w:val="a"/>
    <w:uiPriority w:val="99"/>
    <w:unhideWhenUsed w:val="1"/>
    <w:rsid w:val="009652B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val="en-US"/>
    </w:rPr>
  </w:style>
  <w:style w:type="character" w:styleId="a7">
    <w:name w:val="Strong"/>
    <w:basedOn w:val="a0"/>
    <w:uiPriority w:val="22"/>
    <w:qFormat w:val="1"/>
    <w:rsid w:val="009652B3"/>
    <w:rPr>
      <w:b w:val="1"/>
      <w:bCs w:val="1"/>
    </w:rPr>
  </w:style>
  <w:style w:type="paragraph" w:styleId="login-buttonuser" w:customStyle="1">
    <w:name w:val="login-button__user"/>
    <w:basedOn w:val="a"/>
    <w:rsid w:val="007409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a8">
    <w:name w:val="Emphasis"/>
    <w:basedOn w:val="a0"/>
    <w:uiPriority w:val="20"/>
    <w:qFormat w:val="1"/>
    <w:rsid w:val="0084217B"/>
    <w:rPr>
      <w:i w:val="1"/>
      <w:iCs w:val="1"/>
    </w:rPr>
  </w:style>
  <w:style w:type="paragraph" w:styleId="a9">
    <w:name w:val="Balloon Text"/>
    <w:basedOn w:val="a"/>
    <w:link w:val="aa"/>
    <w:uiPriority w:val="99"/>
    <w:semiHidden w:val="1"/>
    <w:unhideWhenUsed w:val="1"/>
    <w:rsid w:val="00635643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aa" w:customStyle="1">
    <w:name w:val="Текст выноски Знак"/>
    <w:basedOn w:val="a0"/>
    <w:link w:val="a9"/>
    <w:uiPriority w:val="99"/>
    <w:semiHidden w:val="1"/>
    <w:rsid w:val="00635643"/>
    <w:rPr>
      <w:rFonts w:ascii="Segoe UI" w:cs="Segoe UI" w:hAnsi="Segoe UI"/>
      <w:sz w:val="18"/>
      <w:szCs w:val="18"/>
    </w:rPr>
  </w:style>
  <w:style w:type="paragraph" w:styleId="ab">
    <w:name w:val="Subtitle"/>
    <w:basedOn w:val="a"/>
    <w:next w:val="a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c" w:customStyle="1">
    <w:basedOn w:val="TableNormal10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d" w:customStyle="1">
    <w:basedOn w:val="TableNormal10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ae">
    <w:name w:val="List Paragraph"/>
    <w:basedOn w:val="a"/>
    <w:uiPriority w:val="34"/>
    <w:qFormat w:val="1"/>
    <w:rsid w:val="00D6185B"/>
    <w:pPr>
      <w:spacing w:after="0" w:line="240" w:lineRule="auto"/>
      <w:ind w:left="720"/>
      <w:contextualSpacing w:val="1"/>
    </w:pPr>
    <w:rPr>
      <w:rFonts w:asciiTheme="minorHAnsi" w:cstheme="minorBidi" w:eastAsiaTheme="minorHAnsi" w:hAnsiTheme="minorHAnsi"/>
      <w:sz w:val="24"/>
      <w:szCs w:val="24"/>
      <w:lang w:eastAsia="en-US"/>
    </w:rPr>
  </w:style>
  <w:style w:type="character" w:styleId="af">
    <w:name w:val="annotation reference"/>
    <w:basedOn w:val="a0"/>
    <w:uiPriority w:val="99"/>
    <w:semiHidden w:val="1"/>
    <w:unhideWhenUsed w:val="1"/>
    <w:rsid w:val="0043450E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 w:val="1"/>
    <w:unhideWhenUsed w:val="1"/>
    <w:rsid w:val="0043450E"/>
    <w:pPr>
      <w:spacing w:line="240" w:lineRule="auto"/>
    </w:pPr>
    <w:rPr>
      <w:sz w:val="20"/>
      <w:szCs w:val="20"/>
    </w:rPr>
  </w:style>
  <w:style w:type="character" w:styleId="af1" w:customStyle="1">
    <w:name w:val="Текст примечания Знак"/>
    <w:basedOn w:val="a0"/>
    <w:link w:val="af0"/>
    <w:uiPriority w:val="99"/>
    <w:semiHidden w:val="1"/>
    <w:rsid w:val="0043450E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 w:val="1"/>
    <w:unhideWhenUsed w:val="1"/>
    <w:rsid w:val="0043450E"/>
    <w:rPr>
      <w:b w:val="1"/>
      <w:bCs w:val="1"/>
    </w:rPr>
  </w:style>
  <w:style w:type="character" w:styleId="af3" w:customStyle="1">
    <w:name w:val="Тема примечания Знак"/>
    <w:basedOn w:val="af1"/>
    <w:link w:val="af2"/>
    <w:uiPriority w:val="99"/>
    <w:semiHidden w:val="1"/>
    <w:rsid w:val="0043450E"/>
    <w:rPr>
      <w:b w:val="1"/>
      <w:bCs w:val="1"/>
      <w:sz w:val="20"/>
      <w:szCs w:val="20"/>
    </w:rPr>
  </w:style>
  <w:style w:type="character" w:styleId="af4">
    <w:name w:val="FollowedHyperlink"/>
    <w:basedOn w:val="a0"/>
    <w:uiPriority w:val="99"/>
    <w:semiHidden w:val="1"/>
    <w:unhideWhenUsed w:val="1"/>
    <w:rsid w:val="00197EE6"/>
    <w:rPr>
      <w:color w:val="954f72" w:themeColor="followedHyperlink"/>
      <w:u w:val="single"/>
    </w:rPr>
  </w:style>
  <w:style w:type="table" w:styleId="af5" w:customStyle="1">
    <w:basedOn w:val="TableNormal1"/>
    <w:tblPr>
      <w:tblStyleRowBandSize w:val="1"/>
      <w:tblStyleColBandSize w:val="1"/>
      <w:tblCellMar>
        <w:top w:w="15.0" w:type="dxa"/>
        <w:left w:w="115.0" w:type="dxa"/>
        <w:bottom w:w="15.0" w:type="dxa"/>
        <w:right w:w="115.0" w:type="dxa"/>
      </w:tblCellMar>
    </w:tblPr>
  </w:style>
  <w:style w:type="table" w:styleId="af6" w:customStyle="1">
    <w:basedOn w:val="TableNormal1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character" w:styleId="20" w:customStyle="1">
    <w:name w:val="Основной текст (2) + Не полужирный"/>
    <w:basedOn w:val="a0"/>
    <w:rsid w:val="00EF1CAA"/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bidi="uk-UA" w:eastAsia="uk-UA" w:val="uk-UA"/>
    </w:rPr>
  </w:style>
  <w:style w:type="character" w:styleId="21" w:customStyle="1">
    <w:name w:val="Основной текст (2)_"/>
    <w:basedOn w:val="a0"/>
    <w:link w:val="22"/>
    <w:rsid w:val="0021118A"/>
    <w:rPr>
      <w:rFonts w:ascii="Arial" w:cs="Arial" w:eastAsia="Arial" w:hAnsi="Arial"/>
      <w:b w:val="1"/>
      <w:bCs w:val="1"/>
      <w:sz w:val="18"/>
      <w:szCs w:val="18"/>
      <w:shd w:color="auto" w:fill="ffffff" w:val="clear"/>
    </w:rPr>
  </w:style>
  <w:style w:type="character" w:styleId="275pt" w:customStyle="1">
    <w:name w:val="Основной текст (2) + 7.5 pt;Не полужирный"/>
    <w:basedOn w:val="21"/>
    <w:rsid w:val="0021118A"/>
    <w:rPr>
      <w:rFonts w:ascii="Arial" w:cs="Arial" w:eastAsia="Arial" w:hAnsi="Arial"/>
      <w:b w:val="1"/>
      <w:bCs w:val="1"/>
      <w:color w:val="000000"/>
      <w:spacing w:val="0"/>
      <w:w w:val="100"/>
      <w:position w:val="0"/>
      <w:sz w:val="15"/>
      <w:szCs w:val="15"/>
      <w:shd w:color="auto" w:fill="ffffff" w:val="clear"/>
      <w:lang w:bidi="uk-UA" w:eastAsia="uk-UA" w:val="uk-UA"/>
    </w:rPr>
  </w:style>
  <w:style w:type="paragraph" w:styleId="22" w:customStyle="1">
    <w:name w:val="Основной текст (2)"/>
    <w:basedOn w:val="a"/>
    <w:link w:val="21"/>
    <w:rsid w:val="0021118A"/>
    <w:pPr>
      <w:widowControl w:val="0"/>
      <w:shd w:color="auto" w:fill="ffffff" w:val="clear"/>
      <w:spacing w:after="0" w:line="293" w:lineRule="exact"/>
      <w:jc w:val="both"/>
    </w:pPr>
    <w:rPr>
      <w:rFonts w:ascii="Arial" w:cs="Arial" w:eastAsia="Arial" w:hAnsi="Arial"/>
      <w:b w:val="1"/>
      <w:bCs w:val="1"/>
      <w:sz w:val="18"/>
      <w:szCs w:val="18"/>
    </w:rPr>
  </w:style>
  <w:style w:type="character" w:styleId="28pt" w:customStyle="1">
    <w:name w:val="Основной текст (2) + 8 pt;Не полужирный"/>
    <w:basedOn w:val="21"/>
    <w:rsid w:val="0096691E"/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color="auto" w:fill="ffffff" w:val="clear"/>
      <w:lang w:bidi="uk-UA" w:eastAsia="uk-UA" w:val="uk-UA"/>
    </w:rPr>
  </w:style>
  <w:style w:type="character" w:styleId="26pt0pt" w:customStyle="1">
    <w:name w:val="Основной текст (2) + 6 pt;Интервал 0 pt"/>
    <w:basedOn w:val="21"/>
    <w:rsid w:val="0096691E"/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pacing w:val="10"/>
      <w:w w:val="100"/>
      <w:position w:val="0"/>
      <w:sz w:val="12"/>
      <w:szCs w:val="12"/>
      <w:u w:val="none"/>
      <w:shd w:color="auto" w:fill="ffffff" w:val="clear"/>
      <w:lang w:bidi="uk-UA" w:eastAsia="uk-UA" w:val="uk-UA"/>
    </w:rPr>
  </w:style>
  <w:style w:type="paragraph" w:styleId="af7">
    <w:name w:val="Revision"/>
    <w:hidden w:val="1"/>
    <w:uiPriority w:val="99"/>
    <w:semiHidden w:val="1"/>
    <w:rsid w:val="009E486E"/>
    <w:pPr>
      <w:spacing w:after="0" w:line="240" w:lineRule="auto"/>
    </w:pPr>
  </w:style>
  <w:style w:type="table" w:styleId="af8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mailto:prostir.foundation@gmail.com" TargetMode="External"/><Relationship Id="rId9" Type="http://schemas.openxmlformats.org/officeDocument/2006/relationships/hyperlink" Target="mailto:prostir.foundation@gmail.co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prostir.foundation@gmail.com" TargetMode="External"/><Relationship Id="rId8" Type="http://schemas.openxmlformats.org/officeDocument/2006/relationships/hyperlink" Target="mailto:prostir.foundation@gmail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Sno68uSofUa8FLyffHnTzl5k8Q==">CgMxLjA4AHIhMVkzbTdUQzd4aXhNcXFlRWdMQXM1dVRNUEhFdXN3ODBl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2021-11-10T11:19:00Z</dcterms:created>
  <dc:creator>Rada-S</dc:creator>
</cp:coreProperties>
</file>